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3AEF75">
      <w:pPr>
        <w:spacing w:before="312" w:beforeLines="100" w:after="156" w:afterLines="50" w:line="600" w:lineRule="exact"/>
        <w:jc w:val="center"/>
        <w:rPr>
          <w:rFonts w:hint="eastAsia" w:ascii="方正小标宋简体" w:hAnsi="方正小标宋简体" w:eastAsia="方正小标宋简体" w:cs="方正小标宋简体"/>
          <w:kern w:val="0"/>
          <w:sz w:val="40"/>
          <w:szCs w:val="40"/>
        </w:rPr>
      </w:pPr>
      <w:bookmarkStart w:id="0" w:name="_GoBack"/>
      <w:r>
        <w:rPr>
          <w:rFonts w:hint="eastAsia" w:ascii="方正小标宋简体" w:hAnsi="方正小标宋简体" w:eastAsia="方正小标宋简体" w:cs="方正小标宋简体"/>
          <w:kern w:val="0"/>
          <w:sz w:val="40"/>
          <w:szCs w:val="40"/>
          <w:lang w:eastAsia="zh-CN"/>
        </w:rPr>
        <w:t>2025</w:t>
      </w:r>
      <w:r>
        <w:rPr>
          <w:rFonts w:hint="eastAsia" w:ascii="方正小标宋简体" w:hAnsi="方正小标宋简体" w:eastAsia="方正小标宋简体" w:cs="方正小标宋简体"/>
          <w:kern w:val="0"/>
          <w:sz w:val="40"/>
          <w:szCs w:val="40"/>
        </w:rPr>
        <w:t>年北仑区科学施肥增效工作实施方案</w:t>
      </w:r>
    </w:p>
    <w:bookmarkEnd w:id="0"/>
    <w:p w14:paraId="4467BF9F">
      <w:pPr>
        <w:autoSpaceDE w:val="0"/>
        <w:autoSpaceDN w:val="0"/>
        <w:adjustRightInd w:val="0"/>
        <w:spacing w:line="60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为扎</w:t>
      </w:r>
      <w:r>
        <w:rPr>
          <w:rFonts w:hint="eastAsia" w:ascii="仿宋_GB2312" w:eastAsia="仿宋_GB2312" w:cs="Times New Roman"/>
          <w:color w:val="000000"/>
          <w:sz w:val="32"/>
          <w:szCs w:val="32"/>
        </w:rPr>
        <w:t>实推进科学施肥增效，巩固提升化肥减量化成果，引导农民科学合理使用化肥，促进农业绿色高质量发展，根据《浙江省农业农村厅关于印发2025年浙江省科学施肥增效工作实施方案的通知》（浙农专发〔2025〕19号）</w:t>
      </w:r>
      <w:r>
        <w:rPr>
          <w:rFonts w:hint="eastAsia" w:ascii="仿宋_GB2312" w:eastAsia="仿宋_GB2312" w:cs="Times New Roman"/>
          <w:color w:val="000000"/>
          <w:sz w:val="32"/>
          <w:szCs w:val="32"/>
          <w:lang w:eastAsia="zh-CN"/>
        </w:rPr>
        <w:t>、《</w:t>
      </w:r>
      <w:r>
        <w:rPr>
          <w:rFonts w:hint="eastAsia" w:ascii="仿宋_GB2312" w:eastAsia="仿宋_GB2312" w:cs="Times New Roman"/>
          <w:color w:val="000000"/>
          <w:sz w:val="32"/>
          <w:szCs w:val="32"/>
        </w:rPr>
        <w:t>宁波市农业农村局关于印发2025年宁波市科学施肥增效工作实施方案的通知</w:t>
      </w:r>
      <w:r>
        <w:rPr>
          <w:rFonts w:hint="eastAsia" w:ascii="仿宋_GB2312" w:eastAsia="仿宋_GB2312" w:cs="Times New Roman"/>
          <w:color w:val="000000"/>
          <w:sz w:val="32"/>
          <w:szCs w:val="32"/>
          <w:lang w:eastAsia="zh-CN"/>
        </w:rPr>
        <w:t>》</w:t>
      </w:r>
      <w:r>
        <w:rPr>
          <w:rFonts w:hint="eastAsia" w:ascii="仿宋_GB2312" w:eastAsia="仿宋_GB2312" w:cs="Times New Roman"/>
          <w:color w:val="000000"/>
          <w:sz w:val="32"/>
          <w:szCs w:val="32"/>
        </w:rPr>
        <w:t>(甬农发〔</w:t>
      </w:r>
      <w:r>
        <w:rPr>
          <w:rFonts w:hint="eastAsia" w:ascii="仿宋_GB2312" w:eastAsia="仿宋_GB2312" w:cs="Times New Roman"/>
          <w:color w:val="000000"/>
          <w:sz w:val="32"/>
          <w:szCs w:val="32"/>
          <w:lang w:eastAsia="zh-CN"/>
        </w:rPr>
        <w:t>2025</w:t>
      </w:r>
      <w:r>
        <w:rPr>
          <w:rFonts w:hint="eastAsia" w:ascii="仿宋_GB2312" w:eastAsia="仿宋_GB2312" w:cs="Times New Roman"/>
          <w:color w:val="000000"/>
          <w:sz w:val="32"/>
          <w:szCs w:val="32"/>
        </w:rPr>
        <w:t>〕</w:t>
      </w:r>
      <w:r>
        <w:rPr>
          <w:rFonts w:hint="eastAsia" w:ascii="仿宋_GB2312" w:eastAsia="仿宋_GB2312" w:cs="Times New Roman"/>
          <w:color w:val="000000"/>
          <w:sz w:val="32"/>
          <w:szCs w:val="32"/>
          <w:lang w:val="en-US" w:eastAsia="zh-CN"/>
        </w:rPr>
        <w:t>98</w:t>
      </w:r>
      <w:r>
        <w:rPr>
          <w:rFonts w:hint="eastAsia" w:ascii="仿宋_GB2312" w:eastAsia="仿宋_GB2312" w:cs="Times New Roman"/>
          <w:color w:val="000000"/>
          <w:sz w:val="32"/>
          <w:szCs w:val="32"/>
        </w:rPr>
        <w:t>号)</w:t>
      </w:r>
      <w:r>
        <w:rPr>
          <w:rFonts w:hint="eastAsia" w:ascii="仿宋_GB2312" w:eastAsia="仿宋_GB2312"/>
          <w:color w:val="000000"/>
          <w:sz w:val="32"/>
          <w:szCs w:val="32"/>
        </w:rPr>
        <w:t>等有关要求，特制定本方案。</w:t>
      </w:r>
    </w:p>
    <w:p w14:paraId="4D349865">
      <w:pPr>
        <w:pStyle w:val="7"/>
        <w:shd w:val="clear" w:color="auto" w:fill="FFFFFF"/>
        <w:spacing w:before="0" w:beforeAutospacing="0" w:after="0" w:afterAutospacing="0" w:line="600" w:lineRule="exact"/>
        <w:ind w:firstLine="480"/>
        <w:jc w:val="both"/>
        <w:rPr>
          <w:rFonts w:hint="eastAsia" w:ascii="黑体" w:hAnsi="Times New Roman" w:eastAsia="黑体" w:cs="Times New Roman"/>
          <w:color w:val="000000"/>
          <w:kern w:val="2"/>
          <w:sz w:val="32"/>
          <w:szCs w:val="32"/>
        </w:rPr>
      </w:pPr>
      <w:r>
        <w:rPr>
          <w:rFonts w:hint="eastAsia" w:ascii="黑体" w:hAnsi="Times New Roman" w:eastAsia="黑体" w:cs="Times New Roman"/>
          <w:color w:val="000000"/>
          <w:kern w:val="2"/>
          <w:sz w:val="32"/>
          <w:szCs w:val="32"/>
        </w:rPr>
        <w:t>一、总体要求</w:t>
      </w:r>
    </w:p>
    <w:p w14:paraId="5A91CC67">
      <w:pPr>
        <w:autoSpaceDE w:val="0"/>
        <w:autoSpaceDN w:val="0"/>
        <w:adjustRightInd w:val="0"/>
        <w:spacing w:line="60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深入贯彻落实习近平总书记关于推动长江经济带发展的重要指示批示精神和中央一号文件精神，以保障粮食和重要农产品稳定安全供给为底线，以促进种植业绿色高质高效发展为目标，遵循“精、调、改、替、管”技术路径，夯实测土配方施肥基础，巩固拓展化肥减量成果，减少不合理化肥投入，提高化肥利用效率，为稳粮保供、绿色发展、乡村振兴提供有力支撑。</w:t>
      </w:r>
    </w:p>
    <w:p w14:paraId="5F8E8B49">
      <w:pPr>
        <w:adjustRightInd w:val="0"/>
        <w:snapToGrid w:val="0"/>
        <w:spacing w:line="560" w:lineRule="exact"/>
        <w:ind w:left="640"/>
        <w:rPr>
          <w:rFonts w:hint="eastAsia" w:ascii="黑体" w:eastAsia="黑体"/>
          <w:sz w:val="32"/>
          <w:szCs w:val="32"/>
        </w:rPr>
      </w:pPr>
      <w:r>
        <w:rPr>
          <w:rFonts w:hint="eastAsia" w:ascii="黑体" w:eastAsia="黑体"/>
          <w:sz w:val="32"/>
          <w:szCs w:val="32"/>
        </w:rPr>
        <w:t>二、目标任务</w:t>
      </w:r>
    </w:p>
    <w:p w14:paraId="6E72BDA5">
      <w:pPr>
        <w:pStyle w:val="7"/>
        <w:shd w:val="clear" w:color="auto" w:fill="FFFFFF"/>
        <w:spacing w:before="0" w:beforeAutospacing="0" w:after="0" w:afterAutospacing="0" w:line="600" w:lineRule="exact"/>
        <w:ind w:firstLine="640" w:firstLineChars="200"/>
        <w:jc w:val="both"/>
        <w:rPr>
          <w:rFonts w:hint="eastAsia" w:ascii="仿宋_GB2312" w:hAnsi="Times New Roman" w:eastAsia="仿宋_GB2312" w:cs="Times New Roman"/>
          <w:color w:val="000000"/>
          <w:kern w:val="2"/>
          <w:sz w:val="32"/>
          <w:szCs w:val="32"/>
        </w:rPr>
      </w:pPr>
      <w:r>
        <w:rPr>
          <w:rFonts w:hint="eastAsia" w:ascii="仿宋_GB2312" w:hAnsi="Times New Roman" w:eastAsia="仿宋_GB2312" w:cs="Times New Roman"/>
          <w:color w:val="000000"/>
          <w:kern w:val="2"/>
          <w:sz w:val="32"/>
          <w:szCs w:val="32"/>
        </w:rPr>
        <w:t>推进测土配方施肥，</w:t>
      </w:r>
      <w:r>
        <w:rPr>
          <w:rFonts w:hint="eastAsia" w:ascii="仿宋_GB2312" w:eastAsia="仿宋_GB2312"/>
          <w:sz w:val="32"/>
          <w:szCs w:val="32"/>
        </w:rPr>
        <w:t>更新耕地土壤养分数据，</w:t>
      </w:r>
      <w:r>
        <w:rPr>
          <w:rFonts w:hint="eastAsia" w:ascii="仿宋_GB2312" w:hAnsi="Times New Roman" w:eastAsia="仿宋_GB2312" w:cs="Times New Roman"/>
          <w:color w:val="000000"/>
          <w:kern w:val="2"/>
          <w:sz w:val="32"/>
          <w:szCs w:val="32"/>
        </w:rPr>
        <w:t>完成取土测土50个</w:t>
      </w:r>
      <w:r>
        <w:rPr>
          <w:rFonts w:hint="eastAsia" w:ascii="仿宋_GB2312" w:hAnsi="Times New Roman" w:eastAsia="仿宋_GB2312" w:cs="Times New Roman"/>
          <w:color w:val="000000"/>
          <w:kern w:val="2"/>
          <w:sz w:val="32"/>
          <w:szCs w:val="32"/>
          <w:lang w:val="en-US" w:eastAsia="zh-CN"/>
        </w:rPr>
        <w:t>以上</w:t>
      </w:r>
      <w:r>
        <w:rPr>
          <w:rFonts w:hint="eastAsia" w:ascii="仿宋_GB2312" w:hAnsi="Times New Roman" w:eastAsia="仿宋_GB2312" w:cs="Times New Roman"/>
          <w:color w:val="000000"/>
          <w:kern w:val="2"/>
          <w:sz w:val="32"/>
          <w:szCs w:val="32"/>
        </w:rPr>
        <w:t>，开展化肥使用情况典型农户调查10户，开展肥料利用率田间试验1个，主要农作物化肥利用率（氮肥）43%</w:t>
      </w:r>
      <w:r>
        <w:rPr>
          <w:rFonts w:hint="eastAsia" w:ascii="仿宋_GB2312" w:hAnsi="Times New Roman" w:eastAsia="仿宋_GB2312" w:cs="Times New Roman"/>
          <w:color w:val="000000"/>
          <w:kern w:val="2"/>
          <w:sz w:val="32"/>
          <w:szCs w:val="32"/>
          <w:lang w:val="en-US" w:eastAsia="zh-CN"/>
        </w:rPr>
        <w:t>以上</w:t>
      </w:r>
      <w:r>
        <w:rPr>
          <w:rFonts w:hint="eastAsia" w:ascii="仿宋_GB2312" w:hAnsi="Times New Roman" w:eastAsia="仿宋_GB2312" w:cs="Times New Roman"/>
          <w:color w:val="000000"/>
          <w:kern w:val="2"/>
          <w:sz w:val="32"/>
          <w:szCs w:val="32"/>
        </w:rPr>
        <w:t>；发布</w:t>
      </w:r>
      <w:r>
        <w:rPr>
          <w:rFonts w:hint="eastAsia" w:ascii="仿宋_GB2312" w:hAnsi="Times New Roman" w:eastAsia="仿宋_GB2312" w:cs="Times New Roman"/>
          <w:color w:val="000000"/>
          <w:kern w:val="2"/>
          <w:sz w:val="32"/>
          <w:szCs w:val="32"/>
          <w:lang w:eastAsia="zh-CN"/>
        </w:rPr>
        <w:t>2025</w:t>
      </w:r>
      <w:r>
        <w:rPr>
          <w:rFonts w:hint="eastAsia" w:ascii="仿宋_GB2312" w:hAnsi="Times New Roman" w:eastAsia="仿宋_GB2312" w:cs="Times New Roman"/>
          <w:color w:val="000000"/>
          <w:kern w:val="2"/>
          <w:sz w:val="32"/>
          <w:szCs w:val="32"/>
        </w:rPr>
        <w:t>年主要农作物肥料主推配方</w:t>
      </w:r>
      <w:r>
        <w:rPr>
          <w:rFonts w:hint="eastAsia" w:ascii="仿宋_GB2312" w:hAnsi="Times New Roman" w:eastAsia="仿宋_GB2312" w:cs="Times New Roman"/>
          <w:color w:val="000000"/>
          <w:kern w:val="2"/>
          <w:sz w:val="32"/>
          <w:szCs w:val="32"/>
          <w:lang w:eastAsia="zh-CN"/>
        </w:rPr>
        <w:t>；</w:t>
      </w:r>
      <w:r>
        <w:rPr>
          <w:rFonts w:hint="eastAsia" w:ascii="仿宋_GB2312" w:hAnsi="Times New Roman" w:eastAsia="仿宋_GB2312" w:cs="Times New Roman"/>
          <w:color w:val="000000"/>
          <w:kern w:val="2"/>
          <w:sz w:val="32"/>
          <w:szCs w:val="32"/>
          <w:lang w:val="en-US" w:eastAsia="zh-CN"/>
        </w:rPr>
        <w:t>完成上级下达的配方肥和按方施肥推广任务，补贴推广配方肥900吨</w:t>
      </w:r>
      <w:r>
        <w:rPr>
          <w:rFonts w:hint="eastAsia" w:ascii="仿宋_GB2312" w:hAnsi="Times New Roman" w:eastAsia="仿宋_GB2312" w:cs="Times New Roman"/>
          <w:color w:val="000000"/>
          <w:kern w:val="2"/>
          <w:sz w:val="32"/>
          <w:szCs w:val="32"/>
          <w:lang w:eastAsia="zh-CN"/>
        </w:rPr>
        <w:t>；推广商品有机肥4000吨，其中补贴推广1500吨；</w:t>
      </w:r>
      <w:r>
        <w:rPr>
          <w:rFonts w:hint="eastAsia" w:ascii="仿宋_GB2312" w:hAnsi="Times New Roman" w:eastAsia="仿宋_GB2312" w:cs="Times New Roman"/>
          <w:color w:val="000000"/>
          <w:kern w:val="2"/>
          <w:sz w:val="32"/>
          <w:szCs w:val="32"/>
        </w:rPr>
        <w:t>主要农作物测土配方施肥技术覆盖率保持在90%以上；创建化肥减量增效（化肥定额制）示范方1个，健康土壤培育基地1个。</w:t>
      </w:r>
    </w:p>
    <w:p w14:paraId="2B2AF9A9">
      <w:pPr>
        <w:adjustRightInd w:val="0"/>
        <w:snapToGrid w:val="0"/>
        <w:spacing w:line="560" w:lineRule="exact"/>
        <w:ind w:firstLine="640" w:firstLineChars="200"/>
        <w:rPr>
          <w:rFonts w:hint="eastAsia" w:ascii="黑体" w:hAnsi="黑体" w:eastAsia="黑体"/>
          <w:sz w:val="32"/>
          <w:szCs w:val="32"/>
        </w:rPr>
      </w:pPr>
      <w:r>
        <w:rPr>
          <w:rFonts w:hint="eastAsia" w:ascii="黑体" w:hAnsi="黑体" w:eastAsia="黑体"/>
          <w:sz w:val="32"/>
          <w:szCs w:val="32"/>
        </w:rPr>
        <w:t>三、重点工作</w:t>
      </w:r>
    </w:p>
    <w:p w14:paraId="55B2C4A8">
      <w:pPr>
        <w:adjustRightInd w:val="0"/>
        <w:snapToGrid w:val="0"/>
        <w:spacing w:line="600" w:lineRule="exact"/>
        <w:ind w:firstLine="645"/>
        <w:rPr>
          <w:rFonts w:ascii="仿宋_GB2312" w:eastAsia="仿宋_GB2312"/>
          <w:color w:val="000000"/>
          <w:sz w:val="32"/>
          <w:szCs w:val="32"/>
        </w:rPr>
      </w:pPr>
      <w:r>
        <w:rPr>
          <w:rFonts w:hint="eastAsia" w:ascii="KaiTi_GB2312" w:hAnsi="楷体" w:eastAsia="KaiTi_GB2312" w:cs="仿宋"/>
          <w:bCs/>
          <w:color w:val="000000"/>
          <w:sz w:val="32"/>
          <w:szCs w:val="32"/>
        </w:rPr>
        <w:t>（一）夯实测土配方施肥基础工作。</w:t>
      </w:r>
      <w:r>
        <w:rPr>
          <w:rFonts w:hint="eastAsia" w:ascii="仿宋_GB2312" w:eastAsia="仿宋_GB2312"/>
          <w:b/>
          <w:color w:val="000000"/>
          <w:sz w:val="32"/>
          <w:szCs w:val="32"/>
        </w:rPr>
        <w:t>一是开展取土测土。</w:t>
      </w:r>
      <w:r>
        <w:rPr>
          <w:rFonts w:hint="eastAsia" w:ascii="仿宋_GB2312" w:eastAsia="仿宋_GB2312"/>
          <w:color w:val="000000"/>
          <w:sz w:val="32"/>
          <w:szCs w:val="32"/>
        </w:rPr>
        <w:t>依照《测土配方施肥技术规程》（</w:t>
      </w:r>
      <w:r>
        <w:rPr>
          <w:rFonts w:ascii="仿宋_GB2312" w:eastAsia="仿宋_GB2312"/>
          <w:color w:val="000000"/>
          <w:sz w:val="32"/>
          <w:szCs w:val="32"/>
        </w:rPr>
        <w:t>NY/T 2911-2016</w:t>
      </w:r>
      <w:r>
        <w:rPr>
          <w:rFonts w:hint="eastAsia" w:ascii="仿宋_GB2312" w:eastAsia="仿宋_GB2312"/>
          <w:color w:val="000000"/>
          <w:sz w:val="32"/>
          <w:szCs w:val="32"/>
        </w:rPr>
        <w:t>），兼顾考虑测土配方施肥和耕地质量监测需要，以区内规模主体为主要对象，科学布设主要农作物种植区取土点位，</w:t>
      </w:r>
      <w:r>
        <w:rPr>
          <w:rFonts w:hint="eastAsia" w:ascii="仿宋_GB2312" w:eastAsia="仿宋_GB2312"/>
          <w:color w:val="000000"/>
          <w:sz w:val="32"/>
          <w:szCs w:val="32"/>
          <w:lang w:eastAsia="zh-CN"/>
        </w:rPr>
        <w:t>2025</w:t>
      </w:r>
      <w:r>
        <w:rPr>
          <w:rFonts w:hint="eastAsia" w:ascii="仿宋_GB2312" w:eastAsia="仿宋_GB2312"/>
          <w:color w:val="000000"/>
          <w:sz w:val="32"/>
          <w:szCs w:val="32"/>
        </w:rPr>
        <w:t>年完成取土测土50个</w:t>
      </w:r>
      <w:r>
        <w:rPr>
          <w:rFonts w:hint="eastAsia" w:ascii="仿宋_GB2312" w:eastAsia="仿宋_GB2312"/>
          <w:color w:val="000000"/>
          <w:sz w:val="32"/>
          <w:szCs w:val="32"/>
          <w:lang w:val="en-US" w:eastAsia="zh-CN"/>
        </w:rPr>
        <w:t>以上</w:t>
      </w:r>
      <w:r>
        <w:rPr>
          <w:rFonts w:hint="eastAsia" w:ascii="仿宋_GB2312" w:eastAsia="仿宋_GB2312"/>
          <w:color w:val="000000"/>
          <w:sz w:val="32"/>
          <w:szCs w:val="32"/>
        </w:rPr>
        <w:t>，更新完善土壤养分数据库，优化</w:t>
      </w:r>
      <w:r>
        <w:rPr>
          <w:rFonts w:hint="eastAsia" w:ascii="仿宋_GB2312" w:hAnsi="Calibri" w:eastAsia="仿宋_GB2312" w:cs="仿宋_GB2312"/>
          <w:color w:val="000000"/>
          <w:kern w:val="0"/>
          <w:sz w:val="32"/>
          <w:szCs w:val="32"/>
        </w:rPr>
        <w:t>科学施肥指标体系</w:t>
      </w:r>
      <w:r>
        <w:rPr>
          <w:rFonts w:hint="eastAsia" w:ascii="仿宋_GB2312" w:eastAsia="仿宋_GB2312"/>
          <w:color w:val="000000"/>
          <w:sz w:val="32"/>
          <w:szCs w:val="32"/>
        </w:rPr>
        <w:t>。</w:t>
      </w:r>
      <w:r>
        <w:rPr>
          <w:rFonts w:hint="eastAsia" w:ascii="仿宋_GB2312" w:eastAsia="仿宋_GB2312"/>
          <w:b/>
          <w:color w:val="000000"/>
          <w:sz w:val="32"/>
          <w:szCs w:val="32"/>
        </w:rPr>
        <w:t>二是开展田间试验。</w:t>
      </w:r>
      <w:r>
        <w:rPr>
          <w:rFonts w:hint="eastAsia" w:ascii="仿宋_GB2312" w:hAnsi="仿宋" w:eastAsia="仿宋_GB2312" w:cs="仿宋"/>
          <w:color w:val="000000"/>
          <w:sz w:val="32"/>
          <w:szCs w:val="32"/>
        </w:rPr>
        <w:t>围绕区内主导产业和主栽作物，统筹布局田间试验，</w:t>
      </w:r>
      <w:r>
        <w:rPr>
          <w:rFonts w:hint="eastAsia" w:ascii="仿宋_GB2312" w:eastAsia="仿宋_GB2312"/>
          <w:color w:val="000000"/>
          <w:sz w:val="32"/>
          <w:szCs w:val="32"/>
        </w:rPr>
        <w:t>开展水稻肥料利用率试验1个</w:t>
      </w:r>
      <w:r>
        <w:rPr>
          <w:rFonts w:hint="eastAsia" w:ascii="仿宋_GB2312" w:hAnsi="仿宋" w:eastAsia="仿宋_GB2312" w:cs="仿宋"/>
          <w:sz w:val="32"/>
          <w:szCs w:val="32"/>
        </w:rPr>
        <w:t>，规范数据采集，加强分析和应用。</w:t>
      </w:r>
      <w:r>
        <w:rPr>
          <w:rFonts w:hint="eastAsia" w:ascii="仿宋_GB2312" w:eastAsia="仿宋_GB2312"/>
          <w:b/>
          <w:color w:val="000000"/>
          <w:sz w:val="32"/>
          <w:szCs w:val="32"/>
        </w:rPr>
        <w:t>三是开展施肥调查。</w:t>
      </w:r>
      <w:r>
        <w:rPr>
          <w:rFonts w:hint="eastAsia" w:ascii="仿宋_GB2312" w:hAnsi="仿宋" w:eastAsia="仿宋_GB2312" w:cs="仿宋"/>
          <w:color w:val="000000"/>
          <w:sz w:val="32"/>
          <w:szCs w:val="32"/>
        </w:rPr>
        <w:t>综合种植制度、耕地质量和施肥管理水平等因素，以普通种植户、种植大户、家庭农场、专业合作社为对象，按区内种植面积比例统筹确定施肥调查点位10个，建立施肥台账，形成动态监测机制。</w:t>
      </w:r>
      <w:r>
        <w:rPr>
          <w:rFonts w:hint="eastAsia" w:ascii="仿宋_GB2312" w:hAnsi="Calibri" w:eastAsia="仿宋_GB2312" w:cs="仿宋_GB2312"/>
          <w:b/>
          <w:color w:val="000000"/>
          <w:kern w:val="0"/>
          <w:sz w:val="32"/>
          <w:szCs w:val="32"/>
        </w:rPr>
        <w:t>四是强化数据应用。</w:t>
      </w:r>
      <w:r>
        <w:rPr>
          <w:rFonts w:hint="eastAsia" w:ascii="仿宋_GB2312" w:eastAsia="仿宋_GB2312"/>
          <w:color w:val="000000"/>
          <w:sz w:val="32"/>
          <w:szCs w:val="32"/>
        </w:rPr>
        <w:t>加强测土配方施肥数据科学管理和高效应用，严格数据报送制度，指定专人负责数据采集填报、审核汇总工作，推动配方肥落地应用。</w:t>
      </w:r>
    </w:p>
    <w:p w14:paraId="5082889D">
      <w:pPr>
        <w:adjustRightInd w:val="0"/>
        <w:snapToGrid w:val="0"/>
        <w:spacing w:line="600" w:lineRule="exact"/>
        <w:ind w:left="105" w:leftChars="50" w:firstLine="640" w:firstLineChars="200"/>
        <w:rPr>
          <w:rFonts w:hint="eastAsia" w:ascii="仿宋_GB2312" w:eastAsia="仿宋_GB2312"/>
          <w:b/>
          <w:color w:val="000000"/>
          <w:sz w:val="32"/>
          <w:szCs w:val="32"/>
        </w:rPr>
      </w:pPr>
      <w:r>
        <w:rPr>
          <w:rFonts w:hint="eastAsia" w:ascii="KaiTi_GB2312" w:hAnsi="楷体" w:eastAsia="KaiTi_GB2312" w:cs="仿宋"/>
          <w:bCs/>
          <w:color w:val="000000"/>
          <w:sz w:val="32"/>
          <w:szCs w:val="32"/>
        </w:rPr>
        <w:t>（二）多元替代减少部分化肥投入。</w:t>
      </w:r>
      <w:r>
        <w:rPr>
          <w:rFonts w:hint="eastAsia" w:ascii="仿宋_GB2312" w:eastAsia="仿宋_GB2312"/>
          <w:b/>
          <w:color w:val="000000"/>
          <w:sz w:val="32"/>
          <w:szCs w:val="32"/>
        </w:rPr>
        <w:t>一是推动配方肥下地。</w:t>
      </w:r>
      <w:r>
        <w:rPr>
          <w:rFonts w:hint="eastAsia" w:ascii="仿宋_GB2312" w:hAnsi="仿宋_GB2312" w:eastAsia="仿宋_GB2312" w:cs="仿宋_GB2312"/>
          <w:sz w:val="32"/>
          <w:szCs w:val="32"/>
        </w:rPr>
        <w:t>统筹市区财政资金</w:t>
      </w:r>
      <w:r>
        <w:rPr>
          <w:rFonts w:hint="eastAsia" w:ascii="仿宋_GB2312" w:eastAsia="仿宋_GB2312"/>
          <w:color w:val="000000"/>
          <w:sz w:val="32"/>
          <w:szCs w:val="32"/>
        </w:rPr>
        <w:t>，实行配方肥补贴推广政策普惠制，加大农企合作推广力度，</w:t>
      </w:r>
      <w:r>
        <w:rPr>
          <w:rFonts w:hint="eastAsia" w:ascii="仿宋_GB2312" w:hAnsi="仿宋_GB2312" w:eastAsia="仿宋_GB2312" w:cs="仿宋_GB2312"/>
          <w:bCs/>
          <w:color w:val="000000"/>
          <w:sz w:val="32"/>
          <w:szCs w:val="32"/>
        </w:rPr>
        <w:t>全面推进供给端“配方肥替代平衡肥”行动，持续改善肥料供应结构，引导肥料生产企业</w:t>
      </w:r>
      <w:r>
        <w:rPr>
          <w:rFonts w:hint="eastAsia" w:ascii="仿宋_GB2312" w:eastAsia="仿宋_GB2312"/>
          <w:color w:val="000000"/>
          <w:sz w:val="32"/>
          <w:szCs w:val="32"/>
        </w:rPr>
        <w:t>按“方”生产，鼓励农资经营单位按“方”进肥，提高配方肥市场占有率。综合作物养分需求、土壤养分供应和肥料效应，优化肥料配方，调整施肥方案，持续推进施肥建议卡进村入户上墙，引导种植户按方施肥和肥料企业按方供肥，充分利用各种信息化手段，引导农民按“方”购肥、按“方”施肥，</w:t>
      </w:r>
      <w:r>
        <w:rPr>
          <w:rFonts w:hint="eastAsia" w:ascii="仿宋_GB2312" w:hAnsi="仿宋_GB2312" w:eastAsia="仿宋_GB2312" w:cs="仿宋_GB2312"/>
          <w:bCs/>
          <w:color w:val="000000"/>
          <w:sz w:val="32"/>
          <w:szCs w:val="32"/>
        </w:rPr>
        <w:t>提高配方肥施用覆盖率。</w:t>
      </w:r>
      <w:r>
        <w:rPr>
          <w:rFonts w:hint="eastAsia" w:ascii="仿宋_GB2312" w:eastAsia="仿宋_GB2312"/>
          <w:b/>
          <w:color w:val="000000"/>
          <w:sz w:val="32"/>
          <w:szCs w:val="32"/>
        </w:rPr>
        <w:t>二是鼓励施用替代肥。</w:t>
      </w:r>
      <w:r>
        <w:rPr>
          <w:rFonts w:hint="eastAsia" w:ascii="仿宋_GB2312" w:hAnsi="仿宋_GB2312" w:eastAsia="仿宋_GB2312" w:cs="仿宋_GB2312"/>
          <w:bCs/>
          <w:color w:val="000000"/>
          <w:sz w:val="32"/>
          <w:szCs w:val="32"/>
        </w:rPr>
        <w:t>持续推进商品有机肥推广力度，鼓励农户施用商品有机肥、有机无机复混肥料、生物有机肥等肥料，积极配合上级商品有机肥质量随机抽查，强化商品有机肥质量监管。因地制宜鼓励施用堆沤肥、绿肥种植和秸秆还田，与配方肥配合使用，增加有机养分，实现增产提质、减量增效。推广应用缓释肥料、水溶性肥料、微生物肥料等新型功能性肥料，准确匹配植物营养需求，提高化肥利用效率，减少不合理化肥投入。</w:t>
      </w:r>
    </w:p>
    <w:p w14:paraId="36C0D3C7">
      <w:pPr>
        <w:autoSpaceDE w:val="0"/>
        <w:autoSpaceDN w:val="0"/>
        <w:adjustRightInd w:val="0"/>
        <w:spacing w:line="600" w:lineRule="exact"/>
        <w:ind w:firstLine="640" w:firstLineChars="200"/>
        <w:rPr>
          <w:rFonts w:hint="eastAsia" w:eastAsia="仿宋_GB2312"/>
          <w:sz w:val="32"/>
          <w:szCs w:val="32"/>
        </w:rPr>
      </w:pPr>
      <w:r>
        <w:rPr>
          <w:rFonts w:hint="eastAsia" w:ascii="KaiTi_GB2312" w:hAnsi="楷体" w:eastAsia="KaiTi_GB2312" w:cs="仿宋"/>
          <w:bCs/>
          <w:color w:val="000000"/>
          <w:sz w:val="32"/>
          <w:szCs w:val="32"/>
        </w:rPr>
        <w:t>（三）强化化肥减量增效试点示范。</w:t>
      </w:r>
      <w:r>
        <w:rPr>
          <w:rFonts w:hint="eastAsia" w:ascii="仿宋_GB2312" w:eastAsia="仿宋_GB2312"/>
          <w:color w:val="000000"/>
          <w:sz w:val="32"/>
          <w:szCs w:val="32"/>
        </w:rPr>
        <w:t>持续开展化肥减量增效示范方建设，集成推广应用配方施肥、有机替代、缓控释肥应用、机械深施、水肥一体化等减量施肥技术模式。粮油作物化肥减量增效（化肥定额制）示范方连片示范面积不少于</w:t>
      </w:r>
      <w:r>
        <w:rPr>
          <w:rFonts w:ascii="仿宋_GB2312" w:eastAsia="仿宋_GB2312"/>
          <w:color w:val="000000"/>
          <w:sz w:val="32"/>
          <w:szCs w:val="32"/>
        </w:rPr>
        <w:t>100</w:t>
      </w:r>
      <w:r>
        <w:rPr>
          <w:rFonts w:hint="eastAsia" w:ascii="仿宋_GB2312" w:eastAsia="仿宋_GB2312"/>
          <w:color w:val="000000"/>
          <w:sz w:val="32"/>
          <w:szCs w:val="32"/>
        </w:rPr>
        <w:t>亩。示范方内按照“一户一档”要求，建立生产主体年度最高施肥指标和实际购肥用肥等信息档案，形成化肥定额施用全过程管理模式。</w:t>
      </w:r>
      <w:r>
        <w:rPr>
          <w:rFonts w:hint="eastAsia" w:ascii="仿宋_GB2312" w:hAnsi="仿宋" w:eastAsia="仿宋_GB2312" w:cs="仿宋"/>
          <w:sz w:val="32"/>
          <w:szCs w:val="32"/>
        </w:rPr>
        <w:t xml:space="preserve">                                                                                                                                                                                                                                                                                                                                                                                                                                                                                                                                                                                                                                                                                                                                                                                                                                                                                                                                                                                                                                                                                                                                                                                                                                                                                                                                                                                                                                                                                                                                                                                                                                                                                                                                                                                                                                                                                                                                                                                                                                                                                                                                                                                                                                                                                                                                                                                                                                                                                                                                                                                                                                                                                                                                                                                                                                                                                                                                                                                                                                                                                                                                                                                                                                                                                                                                                                                                                                                                                                                                                                                                                                                                                                                                                                                                                                                                                                                                                                                                                                                                                                                                                                                                                </w:t>
      </w:r>
      <w:r>
        <w:rPr>
          <w:rFonts w:hint="eastAsia" w:ascii="仿宋_GB2312" w:hAnsi="仿宋" w:eastAsia="仿宋_GB2312" w:cs="仿宋"/>
          <w:sz w:val="32"/>
          <w:szCs w:val="32"/>
        </w:rPr>
        <w:t xml:space="preserve">                                                                                                                                                                                                                                                                                                                                                                                                                                                                                                                                                                                                                                                                                                                                                                                                                                                                                                                                                                                                                                                                                                                                                                                                                                                                                                                                                                                                                              </w:t>
      </w:r>
    </w:p>
    <w:p w14:paraId="54BA9D5B">
      <w:pPr>
        <w:adjustRightInd w:val="0"/>
        <w:snapToGrid w:val="0"/>
        <w:spacing w:line="560" w:lineRule="exact"/>
        <w:ind w:firstLine="640" w:firstLineChars="200"/>
        <w:rPr>
          <w:rFonts w:hint="eastAsia" w:ascii="黑体" w:hAnsi="黑体" w:eastAsia="黑体"/>
          <w:sz w:val="32"/>
          <w:szCs w:val="32"/>
        </w:rPr>
      </w:pPr>
      <w:r>
        <w:rPr>
          <w:rFonts w:hint="eastAsia" w:ascii="黑体" w:hAnsi="黑体" w:eastAsia="黑体" w:cs="Malgun Gothic Semilight"/>
          <w:sz w:val="32"/>
          <w:szCs w:val="32"/>
        </w:rPr>
        <w:t>四、</w:t>
      </w:r>
      <w:r>
        <w:rPr>
          <w:rFonts w:hint="eastAsia" w:ascii="黑体" w:hAnsi="黑体" w:eastAsia="黑体" w:cs="宋体"/>
          <w:sz w:val="32"/>
          <w:szCs w:val="32"/>
        </w:rPr>
        <w:t>组织实施</w:t>
      </w:r>
    </w:p>
    <w:p w14:paraId="603AAF08">
      <w:pPr>
        <w:adjustRightInd w:val="0"/>
        <w:snapToGrid w:val="0"/>
        <w:spacing w:line="560" w:lineRule="exact"/>
        <w:ind w:firstLine="640" w:firstLineChars="200"/>
        <w:rPr>
          <w:rFonts w:hint="eastAsia" w:ascii="仿宋_GB2312" w:eastAsia="仿宋_GB2312"/>
          <w:bCs/>
          <w:color w:val="000000"/>
          <w:sz w:val="32"/>
          <w:szCs w:val="32"/>
        </w:rPr>
      </w:pPr>
      <w:r>
        <w:rPr>
          <w:rFonts w:hint="eastAsia" w:ascii="仿宋_GB2312" w:eastAsia="仿宋_GB2312"/>
          <w:bCs/>
          <w:color w:val="000000"/>
          <w:sz w:val="32"/>
          <w:szCs w:val="32"/>
        </w:rPr>
        <w:t>各街道及有关单位要高度重视化肥减量增效工作，构建上下联动、多方协作、共同推进的工作机制，确保化肥减量增效各项任务落实落地。</w:t>
      </w:r>
    </w:p>
    <w:p w14:paraId="29BB5E4B">
      <w:pPr>
        <w:adjustRightInd w:val="0"/>
        <w:snapToGrid w:val="0"/>
        <w:spacing w:line="600" w:lineRule="exact"/>
        <w:ind w:firstLine="640" w:firstLineChars="200"/>
        <w:rPr>
          <w:rFonts w:hint="eastAsia" w:ascii="仿宋_GB2312" w:hAnsi="宋体" w:eastAsia="仿宋_GB2312"/>
          <w:color w:val="000000"/>
          <w:sz w:val="32"/>
          <w:szCs w:val="32"/>
        </w:rPr>
      </w:pPr>
      <w:r>
        <w:rPr>
          <w:rFonts w:hint="eastAsia" w:ascii="仿宋_GB2312" w:eastAsia="仿宋_GB2312"/>
          <w:sz w:val="32"/>
          <w:szCs w:val="32"/>
        </w:rPr>
        <w:t>（一）</w:t>
      </w:r>
      <w:r>
        <w:rPr>
          <w:rFonts w:hint="eastAsia" w:ascii="楷体" w:hAnsi="楷体" w:eastAsia="楷体"/>
          <w:bCs/>
          <w:sz w:val="32"/>
          <w:szCs w:val="32"/>
        </w:rPr>
        <w:t>实施方式。</w:t>
      </w:r>
      <w:r>
        <w:rPr>
          <w:rFonts w:hint="eastAsia" w:ascii="仿宋_GB2312" w:eastAsia="仿宋_GB2312"/>
          <w:bCs/>
          <w:color w:val="000000"/>
          <w:sz w:val="32"/>
          <w:szCs w:val="32"/>
        </w:rPr>
        <w:t>入户调查、取土测土、田间试验、发布肥料配方、制定施肥指导意见等测土配方施肥基础工作由各相关街道配合区农业技术推广中心组织实施。</w:t>
      </w:r>
      <w:r>
        <w:rPr>
          <w:rFonts w:hint="eastAsia" w:ascii="仿宋_GB2312" w:hAnsi="宋体" w:eastAsia="仿宋_GB2312"/>
          <w:color w:val="000000"/>
          <w:sz w:val="32"/>
          <w:szCs w:val="32"/>
        </w:rPr>
        <w:t>试点示范由种植大户、专业合作社等新型经营主体为主承担，采取政府购买服务方式，委托第三方协助开展田间肥效试验、土壤植株检测和智慧施肥APP更新维护等工作。</w:t>
      </w:r>
    </w:p>
    <w:p w14:paraId="7473A25B">
      <w:pPr>
        <w:adjustRightInd w:val="0"/>
        <w:snapToGrid w:val="0"/>
        <w:spacing w:line="560" w:lineRule="exact"/>
        <w:ind w:firstLine="640" w:firstLineChars="200"/>
        <w:rPr>
          <w:rFonts w:hint="eastAsia" w:ascii="仿宋_GB2312" w:eastAsia="仿宋_GB2312"/>
          <w:color w:val="000000"/>
          <w:sz w:val="32"/>
          <w:szCs w:val="32"/>
        </w:rPr>
      </w:pPr>
      <w:r>
        <w:rPr>
          <w:rFonts w:hint="eastAsia" w:ascii="楷体" w:hAnsi="楷体" w:eastAsia="楷体"/>
          <w:bCs/>
          <w:sz w:val="32"/>
          <w:szCs w:val="32"/>
        </w:rPr>
        <w:t>（二）工作要求。</w:t>
      </w:r>
      <w:r>
        <w:rPr>
          <w:rFonts w:hint="eastAsia" w:ascii="仿宋_GB2312" w:eastAsia="仿宋_GB2312"/>
          <w:bCs/>
          <w:color w:val="000000"/>
          <w:sz w:val="32"/>
          <w:szCs w:val="32"/>
        </w:rPr>
        <w:t>严格按照有关资金管理规定，加强监管，规范使用，严禁截留挪用和超范围支出，提高资金使用效率。采取现场检查、数据审核等措施，加强对第三方服务监督检查，严格把关各个质量环节，确保数据真实可依。利用主流媒体全方位、多角度宣传化肥减量增效的重要意</w:t>
      </w:r>
      <w:r>
        <w:rPr>
          <w:rFonts w:hint="eastAsia" w:ascii="仿宋_GB2312" w:eastAsia="仿宋_GB2312"/>
          <w:color w:val="000000"/>
          <w:sz w:val="32"/>
          <w:szCs w:val="32"/>
        </w:rPr>
        <w:t>义，增强农民科学施肥意识，营造高效施肥、环保施肥的社会氛围。</w:t>
      </w:r>
    </w:p>
    <w:p w14:paraId="709C4F47"/>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4908873-68DA-4039-A09B-AD575D3622E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695D3804-85AC-40DA-B3C7-72665EC71A86}"/>
  </w:font>
  <w:font w:name="仿宋_GB2312">
    <w:altName w:val="仿宋"/>
    <w:panose1 w:val="02010609030101010101"/>
    <w:charset w:val="86"/>
    <w:family w:val="modern"/>
    <w:pitch w:val="default"/>
    <w:sig w:usb0="00000000" w:usb1="00000000" w:usb2="00000000" w:usb3="00000000" w:csb0="00040000" w:csb1="00000000"/>
    <w:embedRegular r:id="rId3" w:fontKey="{474FD271-22B2-4A6A-9613-24B34E5FB45B}"/>
  </w:font>
  <w:font w:name="仿宋">
    <w:panose1 w:val="02010609060101010101"/>
    <w:charset w:val="86"/>
    <w:family w:val="auto"/>
    <w:pitch w:val="default"/>
    <w:sig w:usb0="800002BF" w:usb1="38CF7CFA" w:usb2="00000016" w:usb3="00000000" w:csb0="00040001" w:csb1="00000000"/>
    <w:embedRegular r:id="rId4" w:fontKey="{EDB4AC45-917A-4131-9D77-C2646EE2E510}"/>
  </w:font>
  <w:font w:name="楷体">
    <w:panose1 w:val="02010609060101010101"/>
    <w:charset w:val="86"/>
    <w:family w:val="auto"/>
    <w:pitch w:val="default"/>
    <w:sig w:usb0="800002BF" w:usb1="38CF7CFA" w:usb2="00000016" w:usb3="00000000" w:csb0="00040001" w:csb1="00000000"/>
    <w:embedRegular r:id="rId5" w:fontKey="{75112350-AD21-439C-9898-0FCF411A7344}"/>
  </w:font>
  <w:font w:name="方正小标宋简体">
    <w:panose1 w:val="02010600010101010101"/>
    <w:charset w:val="86"/>
    <w:family w:val="auto"/>
    <w:pitch w:val="default"/>
    <w:sig w:usb0="00000001" w:usb1="080E0000" w:usb2="00000000" w:usb3="00000000" w:csb0="00040000" w:csb1="00000000"/>
    <w:embedRegular r:id="rId6" w:fontKey="{8E459845-ACA5-495A-B16E-A2F29D96C1B0}"/>
  </w:font>
  <w:font w:name="KaiTi_GB2312">
    <w:altName w:val="楷体"/>
    <w:panose1 w:val="02010609060101010101"/>
    <w:charset w:val="86"/>
    <w:family w:val="modern"/>
    <w:pitch w:val="default"/>
    <w:sig w:usb0="00000000" w:usb1="00000000" w:usb2="00000016" w:usb3="00000000" w:csb0="00040001" w:csb1="00000000"/>
    <w:embedRegular r:id="rId7" w:fontKey="{E4D27FA7-2E13-4135-BBDA-92FBE87E8DCF}"/>
  </w:font>
  <w:font w:name="Malgun Gothic Semilight">
    <w:panose1 w:val="020B0502040204020203"/>
    <w:charset w:val="86"/>
    <w:family w:val="swiss"/>
    <w:pitch w:val="default"/>
    <w:sig w:usb0="900002AF" w:usb1="01D77CFB" w:usb2="00000012" w:usb3="00000000" w:csb0="203E01BD" w:csb1="D7FF0000"/>
    <w:embedRegular r:id="rId8" w:fontKey="{73060A97-61CF-46DE-85F7-D6D55101AFE9}"/>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B92D71"/>
    <w:rsid w:val="0A4422E6"/>
    <w:rsid w:val="11675245"/>
    <w:rsid w:val="12964D0E"/>
    <w:rsid w:val="135529B3"/>
    <w:rsid w:val="1865456F"/>
    <w:rsid w:val="19A52503"/>
    <w:rsid w:val="1B5C3B9F"/>
    <w:rsid w:val="1C9B3435"/>
    <w:rsid w:val="24F64AC6"/>
    <w:rsid w:val="260A5A99"/>
    <w:rsid w:val="2B764B63"/>
    <w:rsid w:val="2C0445D1"/>
    <w:rsid w:val="2F1228D8"/>
    <w:rsid w:val="32A87BBA"/>
    <w:rsid w:val="32E55900"/>
    <w:rsid w:val="34480F30"/>
    <w:rsid w:val="354026F1"/>
    <w:rsid w:val="3A1458AB"/>
    <w:rsid w:val="41DD1FCA"/>
    <w:rsid w:val="48141F25"/>
    <w:rsid w:val="49B92D71"/>
    <w:rsid w:val="4D9F5602"/>
    <w:rsid w:val="4E0B0BF1"/>
    <w:rsid w:val="53B87D0E"/>
    <w:rsid w:val="543720BD"/>
    <w:rsid w:val="5A1621EF"/>
    <w:rsid w:val="5FA34F80"/>
    <w:rsid w:val="601C68D8"/>
    <w:rsid w:val="605854E5"/>
    <w:rsid w:val="626F6E9D"/>
    <w:rsid w:val="69254F54"/>
    <w:rsid w:val="694A5C72"/>
    <w:rsid w:val="6AA10091"/>
    <w:rsid w:val="6B2A42EB"/>
    <w:rsid w:val="6FE262C6"/>
    <w:rsid w:val="70102348"/>
    <w:rsid w:val="720D3A7B"/>
    <w:rsid w:val="750B7CE4"/>
    <w:rsid w:val="75F96FD3"/>
    <w:rsid w:val="7B6B2262"/>
    <w:rsid w:val="7CF27FB6"/>
    <w:rsid w:val="7DD43F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qFormat/>
    <w:uiPriority w:val="0"/>
    <w:pPr>
      <w:keepNext/>
      <w:keepLines/>
      <w:spacing w:line="600" w:lineRule="exact"/>
      <w:ind w:firstLine="868" w:firstLineChars="200"/>
      <w:outlineLvl w:val="0"/>
    </w:pPr>
    <w:rPr>
      <w:rFonts w:eastAsia="黑体"/>
      <w:bCs/>
      <w:kern w:val="44"/>
      <w:sz w:val="32"/>
      <w:szCs w:val="44"/>
    </w:rPr>
  </w:style>
  <w:style w:type="paragraph" w:styleId="3">
    <w:name w:val="heading 2"/>
    <w:basedOn w:val="1"/>
    <w:next w:val="1"/>
    <w:link w:val="11"/>
    <w:semiHidden/>
    <w:unhideWhenUsed/>
    <w:qFormat/>
    <w:uiPriority w:val="0"/>
    <w:pPr>
      <w:keepNext/>
      <w:keepLines/>
      <w:spacing w:beforeLines="0" w:beforeAutospacing="0" w:afterLines="0" w:afterAutospacing="0" w:line="640" w:lineRule="exact"/>
      <w:ind w:firstLine="880" w:firstLineChars="200"/>
      <w:outlineLvl w:val="1"/>
    </w:pPr>
    <w:rPr>
      <w:rFonts w:ascii="Arial" w:hAnsi="Arial" w:eastAsia="楷体"/>
    </w:rPr>
  </w:style>
  <w:style w:type="paragraph" w:styleId="4">
    <w:name w:val="heading 3"/>
    <w:basedOn w:val="1"/>
    <w:next w:val="1"/>
    <w:semiHidden/>
    <w:unhideWhenUsed/>
    <w:qFormat/>
    <w:uiPriority w:val="0"/>
    <w:pPr>
      <w:keepNext/>
      <w:keepLines/>
      <w:spacing w:beforeLines="0" w:beforeAutospacing="0" w:afterLines="0" w:afterAutospacing="0" w:line="560" w:lineRule="exact"/>
      <w:outlineLvl w:val="2"/>
    </w:pPr>
    <w:rPr>
      <w:rFonts w:eastAsia="仿宋_GB2312"/>
      <w:b/>
    </w:rPr>
  </w:style>
  <w:style w:type="paragraph" w:styleId="5">
    <w:name w:val="heading 4"/>
    <w:basedOn w:val="1"/>
    <w:next w:val="1"/>
    <w:semiHidden/>
    <w:unhideWhenUsed/>
    <w:qFormat/>
    <w:uiPriority w:val="0"/>
    <w:pPr>
      <w:keepNext/>
      <w:keepLines/>
      <w:spacing w:beforeLines="0" w:beforeAutospacing="0" w:afterLines="0" w:afterAutospacing="0" w:line="600" w:lineRule="exact"/>
      <w:ind w:firstLine="0" w:firstLineChars="0"/>
      <w:outlineLvl w:val="3"/>
    </w:pPr>
    <w:rPr>
      <w:rFonts w:ascii="方正小标宋简体" w:hAnsi="方正小标宋简体" w:eastAsia="方正小标宋简体"/>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6">
    <w:name w:val="Body Text"/>
    <w:basedOn w:val="1"/>
    <w:qFormat/>
    <w:uiPriority w:val="0"/>
    <w:pPr>
      <w:spacing w:after="120" w:afterLines="0" w:afterAutospacing="0"/>
    </w:pPr>
  </w:style>
  <w:style w:type="paragraph" w:styleId="7">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8">
    <w:name w:val="Body Text First Indent"/>
    <w:basedOn w:val="6"/>
    <w:qFormat/>
    <w:uiPriority w:val="0"/>
    <w:pPr>
      <w:ind w:firstLine="420" w:firstLineChars="100"/>
    </w:pPr>
  </w:style>
  <w:style w:type="character" w:customStyle="1" w:styleId="11">
    <w:name w:val="标题 2 Char"/>
    <w:link w:val="3"/>
    <w:qFormat/>
    <w:uiPriority w:val="0"/>
    <w:rPr>
      <w:rFonts w:ascii="Arial" w:hAnsi="Arial" w:eastAsia="楷体" w:cs="Times New Roman"/>
      <w:sz w:val="32"/>
    </w:rPr>
  </w:style>
  <w:style w:type="paragraph" w:customStyle="1" w:styleId="12">
    <w:name w:val="题目"/>
    <w:basedOn w:val="1"/>
    <w:qFormat/>
    <w:uiPriority w:val="0"/>
    <w:rPr>
      <w:rFonts w:eastAsia="方正小标宋简体" w:cs="Times New Roman"/>
      <w:sz w:val="4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2025-09-24T08:32:00Z</dcterms:created>
  <dc:creator>还好</dc:creator>
  <cp:lastModifiedBy>还好</cp:lastModifiedBy>
  <dcterms:modified xsi:type="dcterms:W3CDTF">2025-09-24T08:32:31Z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560CB73D75AA4ED58343B8894D3FD27C_11</vt:lpwstr>
  </property>
  <property fmtid="{D5CDD505-2E9C-101B-9397-08002B2CF9AE}" pid="4" name="KSOTemplateDocerSaveRecord">
    <vt:lpwstr>eyJoZGlkIjoiODViY2JkMjU3NGYzZTEwMzZmMGFkZWViYmNkYWU3NDIiLCJ1c2VySWQiOiIzOTYyMTYwMDgifQ==</vt:lpwstr>
  </property>
</Properties>
</file>